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2D" w:rsidRDefault="005A672D" w:rsidP="0018011B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1D6A7D" w:rsidRDefault="001D6A7D" w:rsidP="001D6A7D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GOVERNMENT OF TELANGANA</w:t>
      </w:r>
    </w:p>
    <w:p w:rsidR="001D6A7D" w:rsidRDefault="001D6A7D" w:rsidP="001D6A7D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1D6A7D" w:rsidRPr="00A6646A" w:rsidRDefault="001D6A7D" w:rsidP="001D6A7D">
      <w:pPr>
        <w:spacing w:after="0"/>
        <w:jc w:val="center"/>
        <w:rPr>
          <w:rFonts w:ascii="Bookman Old Style" w:hAnsi="Bookman Old Style"/>
          <w:b/>
        </w:rPr>
      </w:pPr>
    </w:p>
    <w:p w:rsidR="001D6A7D" w:rsidRDefault="001D6A7D" w:rsidP="001D6A7D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15/2020</w:t>
      </w:r>
    </w:p>
    <w:p w:rsidR="001D6A7D" w:rsidRDefault="001D6A7D" w:rsidP="001D6A7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1D6A7D" w:rsidRDefault="001D6A7D" w:rsidP="001D6A7D">
      <w:pPr>
        <w:spacing w:after="0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>
        <w:rPr>
          <w:rFonts w:ascii="Bookman Old Style" w:hAnsi="Bookman Old Style" w:cs="Tahoma"/>
          <w:b/>
          <w:sz w:val="24"/>
          <w:szCs w:val="24"/>
          <w:u w:val="single"/>
        </w:rPr>
        <w:t>1)/135/2017,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</w:t>
      </w: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Dt. </w:t>
      </w:r>
      <w:r w:rsidR="00A6646A">
        <w:rPr>
          <w:rFonts w:ascii="Bookman Old Style" w:hAnsi="Bookman Old Style" w:cs="Tahoma"/>
          <w:b/>
          <w:sz w:val="24"/>
          <w:szCs w:val="24"/>
          <w:u w:val="single"/>
        </w:rPr>
        <w:t>13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-11-2020</w:t>
      </w:r>
    </w:p>
    <w:p w:rsidR="001D6A7D" w:rsidRDefault="001D6A7D" w:rsidP="001D6A7D">
      <w:pPr>
        <w:spacing w:after="0" w:line="240" w:lineRule="auto"/>
        <w:ind w:left="1560" w:hanging="851"/>
        <w:jc w:val="both"/>
        <w:rPr>
          <w:rFonts w:ascii="Bookman Old Style" w:hAnsi="Bookman Old Style" w:cs="Tahoma"/>
          <w:sz w:val="24"/>
          <w:szCs w:val="24"/>
        </w:rPr>
      </w:pPr>
    </w:p>
    <w:p w:rsidR="001D6A7D" w:rsidRPr="009C5B89" w:rsidRDefault="001D6A7D" w:rsidP="001D6A7D">
      <w:pPr>
        <w:spacing w:after="0" w:line="240" w:lineRule="auto"/>
        <w:ind w:left="1560" w:hanging="851"/>
        <w:jc w:val="both"/>
        <w:rPr>
          <w:rFonts w:ascii="Bookman Old Style" w:hAnsi="Bookman Old Style" w:cs="Tahoma"/>
          <w:sz w:val="24"/>
          <w:szCs w:val="24"/>
        </w:rPr>
      </w:pPr>
      <w:r w:rsidRPr="009C5B89">
        <w:rPr>
          <w:rFonts w:ascii="Bookman Old Style" w:hAnsi="Bookman Old Style" w:cs="Tahoma"/>
          <w:sz w:val="24"/>
          <w:szCs w:val="24"/>
        </w:rPr>
        <w:t>Sub</w:t>
      </w:r>
      <w:proofErr w:type="gramStart"/>
      <w:r w:rsidRPr="009C5B89">
        <w:rPr>
          <w:rFonts w:ascii="Bookman Old Style" w:hAnsi="Bookman Old Style" w:cs="Tahoma"/>
          <w:sz w:val="24"/>
          <w:szCs w:val="24"/>
        </w:rPr>
        <w:t>:-</w:t>
      </w:r>
      <w:proofErr w:type="gramEnd"/>
      <w:r w:rsidRPr="009C5B89">
        <w:rPr>
          <w:rFonts w:ascii="Bookman Old Style" w:hAnsi="Bookman Old Style" w:cs="Tahoma"/>
          <w:sz w:val="24"/>
          <w:szCs w:val="24"/>
        </w:rPr>
        <w:t xml:space="preserve"> </w:t>
      </w:r>
      <w:r w:rsidRPr="009C5B89">
        <w:rPr>
          <w:rFonts w:ascii="Bookman Old Style" w:hAnsi="Bookman Old Style" w:cs="Tahoma"/>
          <w:sz w:val="24"/>
          <w:szCs w:val="24"/>
        </w:rPr>
        <w:tab/>
        <w:t xml:space="preserve">Extending the time limit for furnishing the </w:t>
      </w:r>
      <w:r w:rsidRPr="001D6A7D">
        <w:rPr>
          <w:rFonts w:ascii="Bookman Old Style" w:hAnsi="Bookman Old Style"/>
          <w:sz w:val="24"/>
          <w:szCs w:val="24"/>
        </w:rPr>
        <w:t xml:space="preserve">declaration in </w:t>
      </w:r>
      <w:r w:rsidRPr="001D6A7D">
        <w:rPr>
          <w:rFonts w:ascii="Bookman Old Style" w:hAnsi="Bookman Old Style"/>
          <w:b/>
          <w:bCs/>
          <w:sz w:val="24"/>
          <w:szCs w:val="24"/>
        </w:rPr>
        <w:t>FORM GST ITC-04</w:t>
      </w:r>
      <w:r w:rsidRPr="009C5B89">
        <w:rPr>
          <w:rFonts w:ascii="Bookman Old Style" w:hAnsi="Bookman Old Style" w:cs="Tahoma"/>
          <w:b/>
          <w:sz w:val="24"/>
          <w:szCs w:val="24"/>
        </w:rPr>
        <w:t>.</w:t>
      </w:r>
    </w:p>
    <w:p w:rsidR="001D6A7D" w:rsidRPr="000D7056" w:rsidRDefault="001D6A7D" w:rsidP="001D6A7D">
      <w:pPr>
        <w:spacing w:after="0" w:line="240" w:lineRule="auto"/>
        <w:ind w:left="720" w:hanging="720"/>
        <w:jc w:val="center"/>
        <w:rPr>
          <w:rFonts w:ascii="Bookman Old Style" w:hAnsi="Bookman Old Style"/>
          <w:sz w:val="14"/>
          <w:szCs w:val="16"/>
        </w:rPr>
      </w:pPr>
    </w:p>
    <w:p w:rsidR="001D6A7D" w:rsidRDefault="001D6A7D" w:rsidP="00A66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18"/>
        </w:rPr>
        <w:t>*****</w:t>
      </w:r>
    </w:p>
    <w:p w:rsidR="001D6A7D" w:rsidRDefault="001D6A7D" w:rsidP="00A6646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63BE9">
        <w:rPr>
          <w:rFonts w:ascii="Bookman Old Style" w:hAnsi="Bookman Old Style"/>
          <w:sz w:val="24"/>
          <w:szCs w:val="24"/>
        </w:rPr>
        <w:t xml:space="preserve">In pursuance of Section 168 of the </w:t>
      </w:r>
      <w:r>
        <w:rPr>
          <w:rFonts w:ascii="Bookman Old Style" w:hAnsi="Bookman Old Style"/>
          <w:sz w:val="24"/>
          <w:szCs w:val="24"/>
        </w:rPr>
        <w:t xml:space="preserve">Telangana </w:t>
      </w:r>
      <w:r w:rsidRPr="00563BE9">
        <w:rPr>
          <w:rFonts w:ascii="Bookman Old Style" w:hAnsi="Bookman Old Style"/>
          <w:sz w:val="24"/>
          <w:szCs w:val="24"/>
        </w:rPr>
        <w:t>Goods and Services Tax Act, 2017</w:t>
      </w:r>
      <w:r>
        <w:rPr>
          <w:rFonts w:ascii="Bookman Old Style" w:hAnsi="Bookman Old Style"/>
          <w:sz w:val="24"/>
          <w:szCs w:val="24"/>
        </w:rPr>
        <w:t xml:space="preserve"> (23</w:t>
      </w:r>
      <w:r w:rsidRPr="00563BE9">
        <w:rPr>
          <w:rFonts w:ascii="Bookman Old Style" w:hAnsi="Bookman Old Style"/>
          <w:sz w:val="24"/>
          <w:szCs w:val="24"/>
        </w:rPr>
        <w:t xml:space="preserve"> of 2017) and sub-rule (3) of Rule 45 of the </w:t>
      </w:r>
      <w:r>
        <w:rPr>
          <w:rFonts w:ascii="Bookman Old Style" w:hAnsi="Bookman Old Style"/>
          <w:sz w:val="24"/>
          <w:szCs w:val="24"/>
        </w:rPr>
        <w:t>Telangana</w:t>
      </w:r>
      <w:r w:rsidRPr="00563BE9">
        <w:rPr>
          <w:rFonts w:ascii="Bookman Old Style" w:hAnsi="Bookman Old Style"/>
          <w:sz w:val="24"/>
          <w:szCs w:val="24"/>
        </w:rPr>
        <w:t xml:space="preserve"> Goods and Services Tax Rules, 2017,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D6A7D">
        <w:rPr>
          <w:rFonts w:ascii="Bookman Old Style" w:hAnsi="Bookman Old Style"/>
          <w:sz w:val="24"/>
          <w:szCs w:val="24"/>
        </w:rPr>
        <w:t xml:space="preserve">the Commissioner, with the approval of the Board, hereby extends the time limit for furnishing the declaration in </w:t>
      </w:r>
      <w:r w:rsidRPr="001D6A7D">
        <w:rPr>
          <w:rFonts w:ascii="Bookman Old Style" w:hAnsi="Bookman Old Style"/>
          <w:b/>
          <w:bCs/>
          <w:sz w:val="24"/>
          <w:szCs w:val="24"/>
        </w:rPr>
        <w:t>FORM GST ITC-04</w:t>
      </w:r>
      <w:r w:rsidRPr="001D6A7D">
        <w:rPr>
          <w:rFonts w:ascii="Bookman Old Style" w:hAnsi="Bookman Old Style"/>
          <w:sz w:val="24"/>
          <w:szCs w:val="24"/>
        </w:rPr>
        <w:t>, in respect of goods dispatched to a job worker or received from a job worker, during the period from July, 2020 to September, 2020 till the 30th day of November, 2020</w:t>
      </w:r>
      <w:r>
        <w:rPr>
          <w:rFonts w:ascii="Bookman Old Style" w:hAnsi="Bookman Old Style"/>
          <w:sz w:val="24"/>
          <w:szCs w:val="24"/>
        </w:rPr>
        <w:t>.</w:t>
      </w:r>
    </w:p>
    <w:p w:rsidR="001D6A7D" w:rsidRPr="001D6A7D" w:rsidRDefault="001D6A7D" w:rsidP="00A664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D6A7D" w:rsidRDefault="001D6A7D" w:rsidP="00A6646A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D6A7D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ab/>
      </w:r>
      <w:r w:rsidRPr="001D6A7D">
        <w:rPr>
          <w:rFonts w:ascii="Bookman Old Style" w:hAnsi="Bookman Old Style"/>
          <w:sz w:val="24"/>
          <w:szCs w:val="24"/>
        </w:rPr>
        <w:t>This notification shall be deemed to have come into force with effect from the 25</w:t>
      </w:r>
      <w:r w:rsidRPr="001D6A7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D6A7D">
        <w:rPr>
          <w:rFonts w:ascii="Bookman Old Style" w:hAnsi="Bookman Old Style"/>
          <w:sz w:val="24"/>
          <w:szCs w:val="24"/>
        </w:rPr>
        <w:t>day of October, 2020.</w:t>
      </w:r>
    </w:p>
    <w:p w:rsidR="001D6A7D" w:rsidRDefault="00A6646A" w:rsidP="00A6646A">
      <w:pPr>
        <w:spacing w:after="0" w:line="240" w:lineRule="auto"/>
        <w:ind w:left="720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/- </w:t>
      </w:r>
      <w:proofErr w:type="spellStart"/>
      <w:r>
        <w:rPr>
          <w:rFonts w:ascii="Bookman Old Style" w:hAnsi="Bookman Old Style"/>
          <w:sz w:val="24"/>
          <w:szCs w:val="24"/>
        </w:rPr>
        <w:t>Neetu</w:t>
      </w:r>
      <w:proofErr w:type="spellEnd"/>
      <w:r>
        <w:rPr>
          <w:rFonts w:ascii="Bookman Old Style" w:hAnsi="Bookman Old Style"/>
          <w:sz w:val="24"/>
          <w:szCs w:val="24"/>
        </w:rPr>
        <w:t xml:space="preserve"> Prasad</w:t>
      </w:r>
    </w:p>
    <w:p w:rsidR="001D6A7D" w:rsidRDefault="001D6A7D" w:rsidP="00A6646A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Commissioner (ST)</w:t>
      </w:r>
    </w:p>
    <w:p w:rsidR="001D6A7D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>To: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 xml:space="preserve">   Wing), Telangana, Hyderabad for publication of the Notification (2 copies)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>All the Joint Commissioners of State Tax, Telangana State, Hyderabad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>Copy to: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>The Law (A) Department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9C5B89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9C5B89">
        <w:rPr>
          <w:rFonts w:ascii="Bookman Old Style" w:hAnsi="Bookman Old Style" w:cs="Verdana"/>
          <w:sz w:val="24"/>
          <w:szCs w:val="24"/>
        </w:rPr>
        <w:t xml:space="preserve"> Chief Minister (NR)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 xml:space="preserve">The P.S. to Special Chief Secretary to Government, </w:t>
      </w:r>
      <w:proofErr w:type="gramStart"/>
      <w:r w:rsidRPr="009C5B89">
        <w:rPr>
          <w:rFonts w:ascii="Bookman Old Style" w:hAnsi="Bookman Old Style" w:cs="Verdana"/>
          <w:sz w:val="24"/>
          <w:szCs w:val="24"/>
        </w:rPr>
        <w:t>Revenue(</w:t>
      </w:r>
      <w:proofErr w:type="gramEnd"/>
      <w:r w:rsidRPr="009C5B89">
        <w:rPr>
          <w:rFonts w:ascii="Bookman Old Style" w:hAnsi="Bookman Old Style" w:cs="Verdana"/>
          <w:sz w:val="24"/>
          <w:szCs w:val="24"/>
        </w:rPr>
        <w:t xml:space="preserve">CT &amp; Ex)   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 xml:space="preserve">   Department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 xml:space="preserve">The Secretary, GST Council, 5th Floor, Tower II, </w:t>
      </w:r>
      <w:proofErr w:type="spellStart"/>
      <w:r w:rsidRPr="009C5B89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9C5B89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9C5B89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9C5B89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1D6A7D" w:rsidRPr="009C5B89" w:rsidRDefault="001D6A7D" w:rsidP="00A6646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9C5B89"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9C5B89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9C5B89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1D6A7D" w:rsidRDefault="001D6A7D" w:rsidP="00A6646A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  <w:proofErr w:type="spellStart"/>
      <w:r w:rsidRPr="009C5B89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9C5B89">
        <w:rPr>
          <w:rFonts w:ascii="Bookman Old Style" w:hAnsi="Bookman Old Style" w:cs="Verdana"/>
          <w:sz w:val="24"/>
          <w:szCs w:val="24"/>
        </w:rPr>
        <w:t xml:space="preserve"> / Sc</w:t>
      </w:r>
    </w:p>
    <w:p w:rsidR="007F0E04" w:rsidRDefault="007F0E04" w:rsidP="00A6646A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1D6A7D" w:rsidRDefault="001D6A7D" w:rsidP="001D6A7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1D6A7D" w:rsidRDefault="001D6A7D" w:rsidP="00E33083">
      <w:pPr>
        <w:spacing w:after="0" w:line="360" w:lineRule="auto"/>
        <w:jc w:val="right"/>
        <w:rPr>
          <w:rFonts w:ascii="Bookman Old Style" w:hAnsi="Bookman Old Style" w:cs="Verdana"/>
          <w:sz w:val="24"/>
          <w:szCs w:val="24"/>
        </w:rPr>
      </w:pPr>
    </w:p>
    <w:sectPr w:rsidR="001D6A7D" w:rsidSect="00E3308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6C0D"/>
    <w:multiLevelType w:val="hybridMultilevel"/>
    <w:tmpl w:val="E7B6C4F2"/>
    <w:lvl w:ilvl="0" w:tplc="9920E37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6D6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84EED"/>
    <w:multiLevelType w:val="hybridMultilevel"/>
    <w:tmpl w:val="5958E00E"/>
    <w:lvl w:ilvl="0" w:tplc="EBBC469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880"/>
    <w:rsid w:val="00005493"/>
    <w:rsid w:val="0003068A"/>
    <w:rsid w:val="000428C6"/>
    <w:rsid w:val="00057954"/>
    <w:rsid w:val="000720DF"/>
    <w:rsid w:val="000A2240"/>
    <w:rsid w:val="000A4E3C"/>
    <w:rsid w:val="000C5FFF"/>
    <w:rsid w:val="00107BB0"/>
    <w:rsid w:val="001218B3"/>
    <w:rsid w:val="00122FFC"/>
    <w:rsid w:val="00127EAB"/>
    <w:rsid w:val="00141B4C"/>
    <w:rsid w:val="0015262C"/>
    <w:rsid w:val="00157EFD"/>
    <w:rsid w:val="001671DC"/>
    <w:rsid w:val="00175692"/>
    <w:rsid w:val="0018011B"/>
    <w:rsid w:val="001A4018"/>
    <w:rsid w:val="001B0A64"/>
    <w:rsid w:val="001D6A7D"/>
    <w:rsid w:val="001E5602"/>
    <w:rsid w:val="0020649E"/>
    <w:rsid w:val="00214F09"/>
    <w:rsid w:val="0023026A"/>
    <w:rsid w:val="0024187E"/>
    <w:rsid w:val="00250DA7"/>
    <w:rsid w:val="002A6E00"/>
    <w:rsid w:val="002C501D"/>
    <w:rsid w:val="003374DD"/>
    <w:rsid w:val="003375FF"/>
    <w:rsid w:val="0038744B"/>
    <w:rsid w:val="003D1D15"/>
    <w:rsid w:val="003D750A"/>
    <w:rsid w:val="003F4B7E"/>
    <w:rsid w:val="003F5F7E"/>
    <w:rsid w:val="004150C9"/>
    <w:rsid w:val="00421FBA"/>
    <w:rsid w:val="00432615"/>
    <w:rsid w:val="004378F5"/>
    <w:rsid w:val="0044696D"/>
    <w:rsid w:val="004528D8"/>
    <w:rsid w:val="004936A2"/>
    <w:rsid w:val="004A62E9"/>
    <w:rsid w:val="004B066C"/>
    <w:rsid w:val="005018CB"/>
    <w:rsid w:val="0050637D"/>
    <w:rsid w:val="005114DB"/>
    <w:rsid w:val="0052602B"/>
    <w:rsid w:val="0056372B"/>
    <w:rsid w:val="0056721E"/>
    <w:rsid w:val="00570C35"/>
    <w:rsid w:val="005863DD"/>
    <w:rsid w:val="005A672D"/>
    <w:rsid w:val="005B32F7"/>
    <w:rsid w:val="005C3AF1"/>
    <w:rsid w:val="005C68E7"/>
    <w:rsid w:val="005F0411"/>
    <w:rsid w:val="00602C11"/>
    <w:rsid w:val="006104D6"/>
    <w:rsid w:val="00623D09"/>
    <w:rsid w:val="0064097F"/>
    <w:rsid w:val="00664B1B"/>
    <w:rsid w:val="006673FC"/>
    <w:rsid w:val="0067721A"/>
    <w:rsid w:val="00693E21"/>
    <w:rsid w:val="006B0F3B"/>
    <w:rsid w:val="006E5B20"/>
    <w:rsid w:val="007035D9"/>
    <w:rsid w:val="0070604C"/>
    <w:rsid w:val="0071592E"/>
    <w:rsid w:val="0072431D"/>
    <w:rsid w:val="00746271"/>
    <w:rsid w:val="007607C0"/>
    <w:rsid w:val="00761E08"/>
    <w:rsid w:val="00770F22"/>
    <w:rsid w:val="00783582"/>
    <w:rsid w:val="007841C5"/>
    <w:rsid w:val="00786FC8"/>
    <w:rsid w:val="00794ABE"/>
    <w:rsid w:val="00794D31"/>
    <w:rsid w:val="007A3893"/>
    <w:rsid w:val="007A66B5"/>
    <w:rsid w:val="007C1379"/>
    <w:rsid w:val="007E4114"/>
    <w:rsid w:val="007F0E04"/>
    <w:rsid w:val="00807B13"/>
    <w:rsid w:val="008305C5"/>
    <w:rsid w:val="00832F84"/>
    <w:rsid w:val="008373AA"/>
    <w:rsid w:val="008417A6"/>
    <w:rsid w:val="008943B7"/>
    <w:rsid w:val="008A5617"/>
    <w:rsid w:val="008C27CF"/>
    <w:rsid w:val="008C40C1"/>
    <w:rsid w:val="008C6E71"/>
    <w:rsid w:val="00900238"/>
    <w:rsid w:val="009364F5"/>
    <w:rsid w:val="0093653A"/>
    <w:rsid w:val="00953748"/>
    <w:rsid w:val="009669D2"/>
    <w:rsid w:val="009854D4"/>
    <w:rsid w:val="00994D31"/>
    <w:rsid w:val="009B13E0"/>
    <w:rsid w:val="009C19FB"/>
    <w:rsid w:val="009C60FB"/>
    <w:rsid w:val="009C64CE"/>
    <w:rsid w:val="009C6B7D"/>
    <w:rsid w:val="009E4696"/>
    <w:rsid w:val="009F302C"/>
    <w:rsid w:val="00A03DFD"/>
    <w:rsid w:val="00A066C3"/>
    <w:rsid w:val="00A11323"/>
    <w:rsid w:val="00A1557C"/>
    <w:rsid w:val="00A42C4C"/>
    <w:rsid w:val="00A55CCA"/>
    <w:rsid w:val="00A652A1"/>
    <w:rsid w:val="00A6646A"/>
    <w:rsid w:val="00A66CB6"/>
    <w:rsid w:val="00A934B4"/>
    <w:rsid w:val="00AA1543"/>
    <w:rsid w:val="00AA44AC"/>
    <w:rsid w:val="00AC1290"/>
    <w:rsid w:val="00AC2039"/>
    <w:rsid w:val="00AD2338"/>
    <w:rsid w:val="00AD3A7B"/>
    <w:rsid w:val="00AE01B2"/>
    <w:rsid w:val="00B268D1"/>
    <w:rsid w:val="00B342A3"/>
    <w:rsid w:val="00B50F3E"/>
    <w:rsid w:val="00B574BB"/>
    <w:rsid w:val="00BA2102"/>
    <w:rsid w:val="00BD4931"/>
    <w:rsid w:val="00BD50F5"/>
    <w:rsid w:val="00BE2A2F"/>
    <w:rsid w:val="00BE2FFB"/>
    <w:rsid w:val="00C0086F"/>
    <w:rsid w:val="00C074B9"/>
    <w:rsid w:val="00C07D87"/>
    <w:rsid w:val="00C275F9"/>
    <w:rsid w:val="00C54A6D"/>
    <w:rsid w:val="00C81BD1"/>
    <w:rsid w:val="00C8224D"/>
    <w:rsid w:val="00C853E4"/>
    <w:rsid w:val="00C90067"/>
    <w:rsid w:val="00CB39F1"/>
    <w:rsid w:val="00CD4DDF"/>
    <w:rsid w:val="00CE4722"/>
    <w:rsid w:val="00CF4A2A"/>
    <w:rsid w:val="00D0797A"/>
    <w:rsid w:val="00D20BCC"/>
    <w:rsid w:val="00D243B6"/>
    <w:rsid w:val="00D5033D"/>
    <w:rsid w:val="00D63E78"/>
    <w:rsid w:val="00D6550D"/>
    <w:rsid w:val="00D81880"/>
    <w:rsid w:val="00D83BC8"/>
    <w:rsid w:val="00D94F95"/>
    <w:rsid w:val="00DB4D57"/>
    <w:rsid w:val="00DC04BD"/>
    <w:rsid w:val="00DD057A"/>
    <w:rsid w:val="00E0101B"/>
    <w:rsid w:val="00E156B0"/>
    <w:rsid w:val="00E30392"/>
    <w:rsid w:val="00E33083"/>
    <w:rsid w:val="00E415A6"/>
    <w:rsid w:val="00E45ACE"/>
    <w:rsid w:val="00E62152"/>
    <w:rsid w:val="00EA0256"/>
    <w:rsid w:val="00EA0808"/>
    <w:rsid w:val="00EB7599"/>
    <w:rsid w:val="00ED01E9"/>
    <w:rsid w:val="00F15069"/>
    <w:rsid w:val="00F1548E"/>
    <w:rsid w:val="00F17FA7"/>
    <w:rsid w:val="00F30B09"/>
    <w:rsid w:val="00F47357"/>
    <w:rsid w:val="00F67187"/>
    <w:rsid w:val="00F82C78"/>
    <w:rsid w:val="00FA12DB"/>
    <w:rsid w:val="00FC012A"/>
    <w:rsid w:val="00FC6C30"/>
    <w:rsid w:val="00FE012A"/>
    <w:rsid w:val="00FE7D8C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0"/>
    <w:pPr>
      <w:spacing w:after="200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80"/>
    <w:pPr>
      <w:spacing w:line="240" w:lineRule="auto"/>
      <w:jc w:val="left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- First level,Kaseya numbered 1,Number_1,List Paragraph2,new,SGLText List Paragraph,Normal Sentence,ListPar1,list1,List Paragraph21,Citation List,List Paragraph Char Char,List Paragraph1,Graphic,Table of contents numbered,Bullets"/>
    <w:basedOn w:val="Normal"/>
    <w:link w:val="ListParagraphChar"/>
    <w:uiPriority w:val="1"/>
    <w:qFormat/>
    <w:rsid w:val="0018011B"/>
    <w:pPr>
      <w:ind w:left="720"/>
      <w:contextualSpacing/>
    </w:pPr>
  </w:style>
  <w:style w:type="character" w:customStyle="1" w:styleId="ListParagraphChar">
    <w:name w:val="List Paragraph Char"/>
    <w:aliases w:val="Bullet- First level Char,Kaseya numbered 1 Char,Number_1 Char,List Paragraph2 Char,new Char,SGLText List Paragraph Char,Normal Sentence Char,ListPar1 Char,list1 Char,List Paragraph21 Char,Citation List Char,List Paragraph1 Char"/>
    <w:link w:val="ListParagraph"/>
    <w:uiPriority w:val="1"/>
    <w:qFormat/>
    <w:locked/>
    <w:rsid w:val="0023026A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E998-C789-48AF-8BB8-CA2F5651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2020-11-11T07:17:00Z</cp:lastPrinted>
  <dcterms:created xsi:type="dcterms:W3CDTF">2017-09-18T11:14:00Z</dcterms:created>
  <dcterms:modified xsi:type="dcterms:W3CDTF">2020-11-17T11:07:00Z</dcterms:modified>
</cp:coreProperties>
</file>